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2024-03-13 15:12:20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康跃赢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15611914119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北京市西城区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其他隐患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断路器入户线虚接，高温造成电线碳化，线皮烧毁，电闸击穿，建议排查室内电线回路。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