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2025-03-13 17:14:20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孙建强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孙建强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吉庆里社区1号楼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消防设施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1号楼顶水压超压，协调物业人员一起楼顶泄水，已恢复正常水压。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