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2025-03-19 15:39:39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孙建强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孙建强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芳草苑6号楼七单元2层有物品堵占疏散通道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疏散通道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七单元2层有物品堵占疏散通道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