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hint="eastAsia" w:ascii="Times New Roman" w:hAnsi="Calibri" w:eastAsia="方正小标宋简体" w:cs="Times New Roman"/>
          <w:color w:val="FF0000"/>
          <w:spacing w:val="9"/>
          <w:w w:val="37"/>
          <w:kern w:val="0"/>
          <w:sz w:val="140"/>
          <w:szCs w:val="140"/>
          <w:fitText w:val="7973" w:id="0"/>
        </w:rPr>
      </w:pPr>
    </w:p>
    <w:p>
      <w:pPr>
        <w:spacing w:line="1440" w:lineRule="exact"/>
        <w:jc w:val="center"/>
        <w:rPr>
          <w:rFonts w:hint="eastAsia"/>
          <w:szCs w:val="32"/>
        </w:rPr>
      </w:pPr>
      <w:r>
        <w:rPr>
          <w:rFonts w:hint="eastAsia" w:ascii="Times New Roman" w:hAnsi="Calibri" w:eastAsia="方正小标宋简体" w:cs="Times New Roman"/>
          <w:color w:val="FF0000"/>
          <w:spacing w:val="9"/>
          <w:w w:val="37"/>
          <w:kern w:val="0"/>
          <w:sz w:val="140"/>
          <w:szCs w:val="140"/>
          <w:fitText w:val="7973" w:id="1"/>
        </w:rPr>
        <w:t>北京市朝阳区防火安全委员会文件</w:t>
      </w: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朝防字〔2019〕4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hint="eastAsia"/>
          <w:color w:val="000000"/>
          <w:szCs w:val="32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18480" cy="0"/>
                <wp:effectExtent l="0" t="19050" r="12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pt;height:0pt;width:442.4pt;z-index:251658240;mso-width-relative:page;mso-height-relative:page;" filled="f" stroked="t" coordsize="21600,21600" o:gfxdata="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EEJrNcAAAAGAQAA&#10;DwAAAAAAAAABACAAAAAiAAAAZHJzL2Rvd25yZXYueG1sUEsBAhQAFAAAAAgAh07iQI1lgFnhAQAA&#10;pQMAAA4AAAAAAAAAAQAgAAAAJgEAAGRycy9lMm9Eb2MueG1sUEsFBgAAAAAGAAYAWQEAAHkFAAAA&#10;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北京市朝阳区防火安全委员会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关于表彰2019年度消防安全十佳、先进单位的通报</w:t>
      </w:r>
    </w:p>
    <w:p>
      <w:pPr>
        <w:spacing w:line="56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街道（地区）办事处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区防火委成员单位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朝阳区</w:t>
      </w:r>
      <w:r>
        <w:rPr>
          <w:rFonts w:hint="eastAsia" w:ascii="仿宋_GB2312" w:eastAsia="仿宋_GB2312"/>
          <w:sz w:val="32"/>
          <w:szCs w:val="32"/>
        </w:rPr>
        <w:t>防火安全委员会在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政府的正确领导和成员单位的大力支持下圆满完成了年度工作任务。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各街乡、各部门</w:t>
      </w:r>
      <w:r>
        <w:rPr>
          <w:rFonts w:hint="eastAsia" w:ascii="仿宋_GB2312" w:eastAsia="仿宋_GB2312"/>
          <w:sz w:val="32"/>
          <w:szCs w:val="32"/>
        </w:rPr>
        <w:t>认真贯彻《北京市消防条例》、</w:t>
      </w:r>
      <w:r>
        <w:rPr>
          <w:rFonts w:hint="eastAsia" w:ascii="仿宋_GB2312" w:eastAsia="仿宋_GB2312"/>
          <w:sz w:val="32"/>
          <w:szCs w:val="32"/>
          <w:lang w:eastAsia="zh-CN"/>
        </w:rPr>
        <w:t>《“防风险保平安迎大庆”消防安全执法检查专项行动方案》、《</w:t>
      </w:r>
      <w:r>
        <w:rPr>
          <w:rFonts w:hint="eastAsia" w:ascii="仿宋_GB2312" w:eastAsia="仿宋_GB2312"/>
          <w:sz w:val="32"/>
          <w:szCs w:val="32"/>
        </w:rPr>
        <w:t>国庆前火灾隐患排查整治工作方案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等重要文件，不断深</w:t>
      </w:r>
      <w:r>
        <w:rPr>
          <w:rFonts w:hint="eastAsia" w:ascii="仿宋_GB2312" w:eastAsia="仿宋_GB2312"/>
          <w:sz w:val="32"/>
          <w:szCs w:val="32"/>
          <w:lang w:eastAsia="zh-CN"/>
        </w:rPr>
        <w:t>化火灾风险隐患“自知自查自改”活动和“五清”活动，落</w:t>
      </w:r>
      <w:r>
        <w:rPr>
          <w:rFonts w:hint="eastAsia" w:ascii="仿宋_GB2312" w:eastAsia="仿宋_GB2312"/>
          <w:sz w:val="32"/>
          <w:szCs w:val="32"/>
        </w:rPr>
        <w:t>实消防工作责任，以夯实基层消防安全管理基础为目标，</w:t>
      </w:r>
      <w:r>
        <w:rPr>
          <w:rFonts w:hint="eastAsia" w:ascii="仿宋_GB2312" w:eastAsia="仿宋_GB2312"/>
          <w:sz w:val="32"/>
          <w:szCs w:val="32"/>
          <w:lang w:eastAsia="zh-CN"/>
        </w:rPr>
        <w:t>为全区“不起火、不冒烟”的消防安全环境做出了应有贡献。</w:t>
      </w:r>
      <w:r>
        <w:rPr>
          <w:rFonts w:hint="eastAsia" w:ascii="仿宋_GB2312" w:eastAsia="仿宋_GB2312"/>
          <w:sz w:val="32"/>
          <w:szCs w:val="32"/>
        </w:rPr>
        <w:t xml:space="preserve">工作中，涌现出了一大批爱岗敬业、尽职履责的消防工作先进代表。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为表彰先进，区防火安全委员会决定授予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北京市朝阳区人大附中朝阳分校等10家单位为“2019朝阳区消防安全十佳单位”，</w:t>
      </w:r>
      <w:r>
        <w:rPr>
          <w:rFonts w:hint="eastAsia" w:ascii="仿宋_GB2312" w:eastAsia="仿宋_GB2312"/>
          <w:sz w:val="32"/>
          <w:szCs w:val="32"/>
          <w:lang w:eastAsia="zh-CN"/>
        </w:rPr>
        <w:t>授予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北京浙江大厦酒店有限公司等90家单位为“2019年朝阳区消防工作先进单位”</w:t>
      </w:r>
      <w:r>
        <w:rPr>
          <w:rFonts w:hint="eastAsia" w:ascii="仿宋_GB2312" w:eastAsia="仿宋_GB2312"/>
          <w:sz w:val="32"/>
          <w:szCs w:val="32"/>
          <w:lang w:eastAsia="zh-CN"/>
        </w:rPr>
        <w:t>，并号召全区向受到通报表彰的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学习。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特此通报。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附件：1、2019朝阳区消防安全十佳单位名单</w:t>
      </w:r>
    </w:p>
    <w:p>
      <w:pPr>
        <w:spacing w:line="560" w:lineRule="exact"/>
        <w:ind w:firstLine="1600" w:firstLineChars="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2、2019年朝阳区消防工作先进单位名单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3200" w:firstLineChars="1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北京市朝阳区防火安全委员会</w:t>
      </w:r>
    </w:p>
    <w:p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2019年11月18日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21"/>
          <w:szCs w:val="21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2019年朝阳区消防安全十佳单位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北京市朝阳区人大附中朝阳分校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大家保险集团有限责任公司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中信和业投资有限公司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北京北辰实业股份有限公司国家会议中心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国家体育场有限责任公司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北京职工体育服务中心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中国国际贸易中心股份有限公司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北京会议中心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北京万达时代物业管理有限公司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北京世纪华侨城实业有限公司欢乐谷分公司</w:t>
      </w:r>
      <w:bookmarkStart w:id="0" w:name="_GoBack"/>
      <w:bookmarkEnd w:id="0"/>
    </w:p>
    <w:p>
      <w:pPr>
        <w:spacing w:line="220" w:lineRule="atLeas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2019年朝阳区消防工作先进单位</w:t>
      </w:r>
    </w:p>
    <w:p>
      <w:pPr>
        <w:spacing w:line="220" w:lineRule="atLeast"/>
        <w:rPr>
          <w:rFonts w:hint="eastAsia" w:ascii="仿宋" w:hAnsi="仿宋" w:eastAsia="仿宋"/>
          <w:sz w:val="24"/>
          <w:szCs w:val="24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北京浙江大厦酒店有限公司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北京福建大厦酒店管理有限公司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北京胜利饭店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北京市塔里木石油酒店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中国科学技术馆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名人大厦（中油阳光物业管理有限公司）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北京联合大学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中国建筑科学研究院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北京贵州大厦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北京居然靓屋灯饰有限公司来广营分公司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北京凯德嘉茂太阳宫房地产经营管理有限公司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北京星凯爱琴海购物中心有限公司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北京金泰大厦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北京阳光温特莱酒店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西藏鑫珠实业有限责任公司北京西藏大厦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北京国际珠宝交易中心有限责任公司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北京长白山国际酒店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恒毅大厦第一戴维斯物业（北京）有限公司安贞分公司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东五环朝悦百惠（北京）商城有限公司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华能北京热电有限责任公司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北京市第三医院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华润双鹤药业股份有限公司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北京木嘟酒店管理有限公司（速8酒店）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北京燕莎友谊商城有限公司奥特莱斯购物中心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电视台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北京化工大学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北京工业大学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北京市鸿源鑫源酒店管理有限公司（七天快捷酒店）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北京瑞达鹏酒店管理有限公司（欢乐谷如家）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北京富华家俱企业有限公司紫檀万豪公寓式酒店分公司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中国民航总医院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北京公联交通枢纽建设管理有限公司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北京城外诚家居广场有限公司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北京四川五粮液龙爪树宾馆有限公司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北京民乐建材市场中心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首都图书馆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北京四川五粮液龙爪树宾馆有限公司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全国农业展览馆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蓝色港湾有限公司 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北京颐堤港物业服务有限公司(颐堤港）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北京燕翔饭店有限责任公司（诺金酒店）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北京国兴三吉利物业管理有限公司（观湖写字楼）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华住酒店管理有限公司（汉庭酒店）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北京京客隆商业集团股份有限公司购物广场（久隆百货）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北京市腾远兴业汽车服务有限公司加油站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北京京东方物业发展有限公司（酒仙桥街道）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北京华彩华瀛资产管理有限公司（华彩商业街）（东湖街道）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北京爱慕物业管理有限公司（东湖街道）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第一太平戴维斯物业顾问（北京）有限公司（利星行中心）（望京街道）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北京利星行酒店有限公司（凯悦酒店）  （望京街道）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北京搜厚物业管理有限公司（望京SOHO）（望京街道）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北京方恒置业股份有限公司（方恒假日酒店）（望京街道）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北京人济置业发展有限公司（人济万怡酒店）（望京街道）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北京乐图物业服务有限公司（中央公园广场）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首都医科大学附属北京妇产医院 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中国传媒大学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北京金港展览展示有限公司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北京通瑞万华置业有限公司（长楹天街购物中心）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首都医科大学附属北京地坛医院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北京第二外国语学院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东北师范大学附属中学朝阳学校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北京焦庄国际大酒店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北京海融兴达商业管理有限公司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北京赛特奥特莱斯商贸有限公司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北京国泰平安天竺商业发展有限公司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北京管庄刨花板市场中心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中国建筑材料科学研究总院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保利影业投资有限公司北京东坝分公司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北京荷美尔食品有限公司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北京skp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JW万豪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博瑞大厦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北京金丰利泰物业管理有限公司（劲松大厦物业）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华腾拓展物业管理有限公司（华腾新天地）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北京财富金融中心(财富三期)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北京奥中世贸物业管理有限公司（世贸天阶）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中央广播电视总台（光华路办公区）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北京市长富宫中心有限责任公司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北京万达文华酒店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北京古玩城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北京潘家园</w:t>
      </w:r>
      <w:r>
        <w:rPr>
          <w:rFonts w:hint="eastAsia" w:ascii="仿宋" w:hAnsi="仿宋" w:eastAsia="仿宋"/>
          <w:sz w:val="28"/>
          <w:szCs w:val="28"/>
        </w:rPr>
        <w:t>旧货市场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有限公司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华润置地（北京）物业管理有限责任公司朝阳分公司（凤凰汇购物中心）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北京仲量联行物业管理服务有限公司第一分公司（启皓北京）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北京富力城房地产开发有限公司北京富力万丽酒店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北京乐成启胜物业管理有限公司（乐成中心）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北京中保第一太平戴维斯物业管理有限公司（中国人寿大厦）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北京雅宝路天雅服装市场有限责任公司（天雅大厦）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17DB"/>
    <w:rsid w:val="03836D3D"/>
    <w:rsid w:val="0FB3203F"/>
    <w:rsid w:val="17E07760"/>
    <w:rsid w:val="1AF617DB"/>
    <w:rsid w:val="1B7F3758"/>
    <w:rsid w:val="251B459D"/>
    <w:rsid w:val="31056AA0"/>
    <w:rsid w:val="3B914AB8"/>
    <w:rsid w:val="3F215CB6"/>
    <w:rsid w:val="477A1CBA"/>
    <w:rsid w:val="635E788F"/>
    <w:rsid w:val="693D38B2"/>
    <w:rsid w:val="6C4045D2"/>
    <w:rsid w:val="6FC31BCD"/>
    <w:rsid w:val="73C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2019-11-04T02:30:00Z</dcterms:created>
  <dc:creator>fhb</dc:creator>
  <cp:lastModifiedBy>fhb</cp:lastModifiedBy>
  <dcterms:modified xsi:type="dcterms:W3CDTF">2019-12-20T01:02:58Z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